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работы РМО учителей химии и биологии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2024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учебный  год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Профессиональное развитие педагогов для формирования функциональной грамотности обучающихся на уроках с достижением нового качества образования и воспитания в урочное время как важнейшее условие реализации ФГОС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Цели работы: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эффективности образовательного процесса через применение современных подходов организации образовательной деятельности, непрерывное совершенствование профессионального уровня педагогического мастерства учителя.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 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           выявление профессиональных дефицитов педагогов;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создание оптимальных условий для раскрытия способностей учащихся и удовлетворения их потребностей в результате изучения предметов;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повышение профессиональной компетенции учителей биологии и химии через методическую работу, самообразование, обмен опытом;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стимулирование и развитие творческого подхода к образовательному процессу, обеспечение постоянного роста профессионального мастерства через коллективную и индивидуальную   деятельность;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организация системной подготовки обучающихся к государственной итоговой аттестации, ВПР и Всероссийской олимпиаде школьников;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совершенствовать открытые уроки по функциональной рамотности как важнейшее направление повышения качества учебно-воспитательного процесса.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Планирование работы: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менее 3-х заседаний в год с точным указанием плана проведения: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План  проведения заседаний РМО учителей химии и биологии.</w:t>
      </w:r>
    </w:p>
    <w:tbl>
      <w:tblPr/>
      <w:tblGrid>
        <w:gridCol w:w="648"/>
        <w:gridCol w:w="4068"/>
        <w:gridCol w:w="2495"/>
        <w:gridCol w:w="2651"/>
      </w:tblGrid>
      <w:tr>
        <w:trPr>
          <w:trHeight w:val="1350" w:hRule="auto"/>
          <w:jc w:val="left"/>
          <w:cantSplit w:val="1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заседания</w:t>
            </w:r>
          </w:p>
        </w:tc>
        <w:tc>
          <w:tcPr>
            <w:tcW w:w="4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 занятия, вопросы для обсуждения:</w:t>
            </w:r>
          </w:p>
        </w:tc>
        <w:tc>
          <w:tcPr>
            <w:tcW w:w="2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Задания на межсекционный период</w:t>
            </w: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 подготовки к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итоговой государственной аттестации выпускников 9-х и 11-х классов. </w:t>
            </w:r>
          </w:p>
          <w:p>
            <w:pPr>
              <w:spacing w:before="0" w:after="0" w:line="360"/>
              <w:ind w:right="0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="0" w:after="0" w:line="360"/>
              <w:ind w:right="0" w:left="-23" w:firstLine="15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Анализ работы МО учителей биологии и химии за 2023-2024 учебный год.</w:t>
            </w:r>
          </w:p>
          <w:p>
            <w:pPr>
              <w:numPr>
                <w:ilvl w:val="0"/>
                <w:numId w:val="17"/>
              </w:numPr>
              <w:spacing w:before="0" w:after="0" w:line="360"/>
              <w:ind w:right="0" w:left="-23" w:firstLine="15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Обсуждение и утверждение плана работы РМО учителей химии и биологии на 2024-2025 учебный год.</w:t>
            </w:r>
          </w:p>
          <w:p>
            <w:pPr>
              <w:numPr>
                <w:ilvl w:val="0"/>
                <w:numId w:val="17"/>
              </w:numPr>
              <w:spacing w:before="0" w:after="0" w:line="360"/>
              <w:ind w:right="0" w:left="-23" w:firstLine="151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Разное</w:t>
            </w:r>
          </w:p>
        </w:tc>
        <w:tc>
          <w:tcPr>
            <w:tcW w:w="2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="0" w:after="0" w:line="360"/>
              <w:ind w:right="0" w:left="0" w:firstLine="136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Планирование проведения, обсуждение форм проведения методического семинара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7"/>
              </w:numPr>
              <w:spacing w:before="0" w:after="0" w:line="360"/>
              <w:ind w:right="0" w:left="0" w:firstLine="136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Подписка на методическую литературу.</w:t>
            </w:r>
          </w:p>
          <w:p>
            <w:pPr>
              <w:numPr>
                <w:ilvl w:val="0"/>
                <w:numId w:val="17"/>
              </w:numPr>
              <w:spacing w:before="0" w:after="0" w:line="360"/>
              <w:ind w:right="0" w:left="0" w:firstLine="13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Оказание методической помощи. </w:t>
            </w: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Методические рекомендации для учителей химии и биологии по подготовке обучающихся к  ГИА  2025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Смысловое чтение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уроках биологии, химии, как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важнейший компонент естественнонаучной грамотности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15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результатов ГИА за 2024-2025 учебный год. </w:t>
            </w:r>
          </w:p>
          <w:p>
            <w:pPr>
              <w:spacing w:before="0" w:after="0" w:line="360"/>
              <w:ind w:right="0" w:left="0" w:firstLine="15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Методические рекомендации для учителей химии и биологии, подготовленные на основе анализа типичных ошибок участников ГИА  прошлых лет. Изменения КИМ по химии и биологии.</w:t>
            </w:r>
          </w:p>
          <w:p>
            <w:pPr>
              <w:spacing w:before="0" w:after="0" w:line="360"/>
              <w:ind w:right="0" w:left="0" w:firstLine="151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Обмен опытом по использованию на уроках смыслового чтения на уроках биологии, химии, как компонент естественнонаучной грамотности.</w:t>
            </w:r>
          </w:p>
          <w:p>
            <w:pPr>
              <w:spacing w:before="0" w:after="0" w:line="360"/>
              <w:ind w:right="0" w:left="0" w:firstLine="151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Разное. </w:t>
            </w:r>
          </w:p>
        </w:tc>
        <w:tc>
          <w:tcPr>
            <w:tcW w:w="2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14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материалов с сайта Федерального института педагогических измерений (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http://www.fipi.ru/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). </w:t>
            </w:r>
          </w:p>
          <w:p>
            <w:pPr>
              <w:spacing w:before="0" w:after="0" w:line="360"/>
              <w:ind w:right="0" w:left="0" w:firstLine="14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обучающихся к ГИА 2025 года (особое внимание обратить на задания, вызвавшие затруднения у обучающихся). </w:t>
            </w: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работы РМО за учебный год. Организация работы РМО на будущий учебный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"/>
              </w:numPr>
              <w:spacing w:before="0" w:after="0" w:line="360"/>
              <w:ind w:right="0" w:left="-1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работы РМО за учебный год.</w:t>
            </w:r>
          </w:p>
          <w:p>
            <w:pPr>
              <w:numPr>
                <w:ilvl w:val="0"/>
                <w:numId w:val="26"/>
              </w:numPr>
              <w:spacing w:before="0" w:after="0" w:line="360"/>
              <w:ind w:right="0" w:left="-1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Определение основных направлений работы РМО на 2025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202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учебный год (анкетирование).</w:t>
            </w:r>
          </w:p>
          <w:p>
            <w:pPr>
              <w:numPr>
                <w:ilvl w:val="0"/>
                <w:numId w:val="26"/>
              </w:numPr>
              <w:spacing w:before="0" w:after="0" w:line="360"/>
              <w:ind w:right="0" w:left="-1" w:firstLine="129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Разное </w:t>
            </w:r>
          </w:p>
        </w:tc>
        <w:tc>
          <w:tcPr>
            <w:tcW w:w="2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14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Информационная образовательная среда обучения предмету. </w:t>
            </w:r>
          </w:p>
          <w:p>
            <w:pPr>
              <w:spacing w:before="0" w:after="0" w:line="360"/>
              <w:ind w:right="0" w:left="0" w:firstLine="14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Педагогическое сотрудничество</w:t>
            </w:r>
          </w:p>
        </w:tc>
      </w:tr>
    </w:tbl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Сроки проведения заседаний: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tbl>
      <w:tblPr/>
      <w:tblGrid>
        <w:gridCol w:w="491"/>
        <w:gridCol w:w="1751"/>
        <w:gridCol w:w="4156"/>
        <w:gridCol w:w="1842"/>
        <w:gridCol w:w="1864"/>
      </w:tblGrid>
      <w:tr>
        <w:trPr>
          <w:trHeight w:val="1134" w:hRule="auto"/>
          <w:jc w:val="center"/>
          <w:cantSplit w:val="1"/>
        </w:trPr>
        <w:tc>
          <w:tcPr>
            <w:tcW w:w="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и время проведения</w:t>
            </w:r>
          </w:p>
        </w:tc>
        <w:tc>
          <w:tcPr>
            <w:tcW w:w="4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Тематика заседания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-108" w:firstLine="3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Форма работы</w:t>
            </w:r>
          </w:p>
        </w:tc>
      </w:tr>
      <w:tr>
        <w:trPr>
          <w:trHeight w:val="309" w:hRule="auto"/>
          <w:jc w:val="center"/>
        </w:trPr>
        <w:tc>
          <w:tcPr>
            <w:tcW w:w="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113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Сентябрь-октябрь</w:t>
            </w:r>
          </w:p>
        </w:tc>
        <w:tc>
          <w:tcPr>
            <w:tcW w:w="4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 подготовки к</w:t>
            </w:r>
          </w:p>
          <w:p>
            <w:pPr>
              <w:spacing w:before="0" w:after="0" w:line="360"/>
              <w:ind w:right="0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итоговой государственной аттестации выпускников 9-х и 11-х классов. </w:t>
            </w:r>
          </w:p>
          <w:p>
            <w:pPr>
              <w:spacing w:before="0" w:after="0" w:line="36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-108" w:left="-108" w:firstLine="3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Плеханова А.В.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-108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Дистанционная работа</w:t>
            </w:r>
          </w:p>
        </w:tc>
      </w:tr>
      <w:tr>
        <w:trPr>
          <w:trHeight w:val="309" w:hRule="auto"/>
          <w:jc w:val="center"/>
        </w:trPr>
        <w:tc>
          <w:tcPr>
            <w:tcW w:w="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113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Январь-февраль</w:t>
            </w:r>
          </w:p>
        </w:tc>
        <w:tc>
          <w:tcPr>
            <w:tcW w:w="4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Методические рекомендации для учителей химии и биологии по подготовке обучающихся к  ГИА  2025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360"/>
              <w:ind w:right="0" w:left="0" w:firstLine="151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"Обмен опытом по использованию на уроках смыслового чтения на уроках биологии, химии, как компонент естественнонаучной грамотности."</w:t>
            </w:r>
          </w:p>
          <w:p>
            <w:pPr>
              <w:spacing w:before="0" w:after="0" w:line="360"/>
              <w:ind w:right="0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-108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-108" w:left="-108" w:firstLine="7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Плеханова А.В. члены РМО.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Педагогическая дискуссия, обмен опытом</w:t>
            </w:r>
          </w:p>
        </w:tc>
      </w:tr>
      <w:tr>
        <w:trPr>
          <w:trHeight w:val="309" w:hRule="auto"/>
          <w:jc w:val="center"/>
        </w:trPr>
        <w:tc>
          <w:tcPr>
            <w:tcW w:w="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113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Март-апрель </w:t>
            </w:r>
          </w:p>
        </w:tc>
        <w:tc>
          <w:tcPr>
            <w:tcW w:w="4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работы РМО за учебный год. Организация работы РМО на будущий учебный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Чуркина Ю.В.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Заседание </w:t>
            </w:r>
          </w:p>
        </w:tc>
      </w:tr>
    </w:tbl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Интернет-ресурсы для работы: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http://www.fipi.ru/</w:t>
        </w:r>
      </w:hyperlink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http://ege.edu.ru</w:t>
        </w:r>
      </w:hyperlink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http://www.uchportal.ru/load/252</w:t>
        </w:r>
      </w:hyperlink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http://www.chemistry.ssu.samara.ru/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Интерактивный мультимедиа учебник по органической химии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http://www.rushim.ru/books/books.htm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электронная библиотека по химии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http://xumuk.ru</w:t>
        </w:r>
      </w:hyperlink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http://www.nigma.ru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помогает уравнивать химические уравнения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http://egefun.ru/test-po-informatike</w:t>
        </w:r>
      </w:hyperlink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http://www.chem.msu.ru/rus/teaching/zagorskii2/video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 общей и неорганической химии + учебные видеоматериалы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http://maratakm.narod.ru/index2.htm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темы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http://www.bioege.edu.ru/</w:t>
        </w:r>
      </w:hyperlink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http://egefun.ru/test-po-biologii</w:t>
        </w:r>
      </w:hyperlink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http://www.examen.ru/add/ege/ege-po-biologii</w:t>
        </w:r>
      </w:hyperlink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http://www1.ege.edu.ru/online-testing/bio</w:t>
        </w:r>
      </w:hyperlink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7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nigma.ru/" Id="docRId7" Type="http://schemas.openxmlformats.org/officeDocument/2006/relationships/hyperlink" /><Relationship TargetMode="External" Target="http://maratakm.narod.ru/index2.htm" Id="docRId10" Type="http://schemas.openxmlformats.org/officeDocument/2006/relationships/hyperlink" /><Relationship TargetMode="External" Target="http://www1.ege.edu.ru/online-testing/bio" Id="docRId14" Type="http://schemas.openxmlformats.org/officeDocument/2006/relationships/hyperlink" /><Relationship TargetMode="External" Target="http://ege.edu.ru/" Id="docRId2" Type="http://schemas.openxmlformats.org/officeDocument/2006/relationships/hyperlink" /><Relationship TargetMode="External" Target="http://xumuk.ru/" Id="docRId6" Type="http://schemas.openxmlformats.org/officeDocument/2006/relationships/hyperlink" /><Relationship TargetMode="External" Target="http://www.fipi.ru/" Id="docRId1" Type="http://schemas.openxmlformats.org/officeDocument/2006/relationships/hyperlink" /><Relationship TargetMode="External" Target="http://www.bioege.edu.ru/" Id="docRId11" Type="http://schemas.openxmlformats.org/officeDocument/2006/relationships/hyperlink" /><Relationship Target="numbering.xml" Id="docRId15" Type="http://schemas.openxmlformats.org/officeDocument/2006/relationships/numbering" /><Relationship TargetMode="External" Target="http://www.rushim.ru/books/books.htm" Id="docRId5" Type="http://schemas.openxmlformats.org/officeDocument/2006/relationships/hyperlink" /><Relationship TargetMode="External" Target="http://www.chem.msu.ru/rus/teaching/zagorskii2/video" Id="docRId9" Type="http://schemas.openxmlformats.org/officeDocument/2006/relationships/hyperlink" /><Relationship TargetMode="External" Target="http://www.fipi.ru/" Id="docRId0" Type="http://schemas.openxmlformats.org/officeDocument/2006/relationships/hyperlink" /><Relationship TargetMode="External" Target="http://egefun.ru/test-po-biologii" Id="docRId12" Type="http://schemas.openxmlformats.org/officeDocument/2006/relationships/hyperlink" /><Relationship Target="styles.xml" Id="docRId16" Type="http://schemas.openxmlformats.org/officeDocument/2006/relationships/styles" /><Relationship TargetMode="External" Target="http://www.chemistry.ssu.samara.ru/" Id="docRId4" Type="http://schemas.openxmlformats.org/officeDocument/2006/relationships/hyperlink" /><Relationship TargetMode="External" Target="http://egefun.ru/test-po-informatike" Id="docRId8" Type="http://schemas.openxmlformats.org/officeDocument/2006/relationships/hyperlink" /><Relationship TargetMode="External" Target="http://www.examen.ru/add/ege/ege-po-biologii" Id="docRId13" Type="http://schemas.openxmlformats.org/officeDocument/2006/relationships/hyperlink" /><Relationship TargetMode="External" Target="http://www.uchportal.ru/load/252" Id="docRId3" Type="http://schemas.openxmlformats.org/officeDocument/2006/relationships/hyperlink" /></Relationships>
</file>